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BC" w:rsidRPr="00144AFE" w:rsidRDefault="00CD77BC">
      <w:pPr>
        <w:spacing w:after="200" w:line="275" w:lineRule="auto"/>
        <w:rPr>
          <w:color w:val="auto"/>
          <w:szCs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278"/>
      </w:tblGrid>
      <w:tr w:rsidR="00CD77BC" w:rsidRPr="00144AFE">
        <w:trPr>
          <w:trHeight w:hRule="exact" w:val="907"/>
        </w:trPr>
        <w:tc>
          <w:tcPr>
            <w:tcW w:w="9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CD77BC" w:rsidRPr="00144AFE" w:rsidRDefault="00FF0F51">
            <w:pPr>
              <w:spacing w:after="200" w:line="275" w:lineRule="auto"/>
              <w:ind w:right="3542"/>
              <w:jc w:val="center"/>
              <w:rPr>
                <w:caps/>
                <w:color w:val="auto"/>
                <w:szCs w:val="22"/>
              </w:rPr>
            </w:pPr>
            <w:r>
              <w:rPr>
                <w:noProof/>
                <w:color w:val="auto"/>
                <w:szCs w:val="22"/>
              </w:rPr>
              <w:drawing>
                <wp:inline distT="0" distB="0" distL="0" distR="0">
                  <wp:extent cx="426720" cy="5181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7BC" w:rsidRPr="00144AFE" w:rsidRDefault="001B0BE6">
      <w:pPr>
        <w:ind w:right="3413"/>
        <w:jc w:val="center"/>
        <w:rPr>
          <w:caps/>
          <w:color w:val="auto"/>
          <w:szCs w:val="22"/>
        </w:rPr>
      </w:pPr>
      <w:r w:rsidRPr="00144AFE">
        <w:rPr>
          <w:caps/>
          <w:color w:val="auto"/>
          <w:szCs w:val="22"/>
        </w:rPr>
        <w:t>Republika Hrvatska</w:t>
      </w:r>
    </w:p>
    <w:p w:rsidR="00CD77BC" w:rsidRPr="00144AFE" w:rsidRDefault="001B0BE6">
      <w:pPr>
        <w:ind w:right="3413"/>
        <w:jc w:val="center"/>
        <w:rPr>
          <w:color w:val="auto"/>
          <w:szCs w:val="22"/>
        </w:rPr>
      </w:pPr>
      <w:r w:rsidRPr="00144AFE">
        <w:rPr>
          <w:caps/>
          <w:color w:val="auto"/>
          <w:szCs w:val="22"/>
        </w:rPr>
        <w:t>Grad Zagreb</w:t>
      </w:r>
    </w:p>
    <w:p w:rsidR="00CD77BC" w:rsidRPr="00144AFE" w:rsidRDefault="001B0BE6">
      <w:pPr>
        <w:ind w:right="3413"/>
        <w:jc w:val="center"/>
        <w:rPr>
          <w:b/>
          <w:color w:val="auto"/>
          <w:szCs w:val="22"/>
        </w:rPr>
      </w:pPr>
      <w:r w:rsidRPr="00144AFE">
        <w:rPr>
          <w:b/>
          <w:color w:val="auto"/>
          <w:szCs w:val="22"/>
        </w:rPr>
        <w:t>GRADSKI URED ZA PROSTORNO UREĐENJE, IZGRADNJU GRADA, GRADITELJSTVO, KOMUNALNE POSLOVE I PROMET</w:t>
      </w:r>
    </w:p>
    <w:p w:rsidR="00CD77BC" w:rsidRPr="00144AFE" w:rsidRDefault="001B0BE6">
      <w:pPr>
        <w:ind w:right="3413"/>
        <w:jc w:val="center"/>
        <w:rPr>
          <w:color w:val="auto"/>
          <w:szCs w:val="22"/>
        </w:rPr>
      </w:pPr>
      <w:r w:rsidRPr="00144AFE">
        <w:rPr>
          <w:color w:val="auto"/>
          <w:szCs w:val="22"/>
        </w:rPr>
        <w:t>Odjel za prostorno uređenje</w:t>
      </w:r>
    </w:p>
    <w:p w:rsidR="00CD77BC" w:rsidRPr="00144AFE" w:rsidRDefault="001B0BE6">
      <w:pPr>
        <w:ind w:right="3413"/>
        <w:jc w:val="center"/>
        <w:rPr>
          <w:color w:val="auto"/>
          <w:szCs w:val="22"/>
        </w:rPr>
      </w:pPr>
      <w:r w:rsidRPr="00144AFE">
        <w:rPr>
          <w:color w:val="auto"/>
          <w:szCs w:val="22"/>
        </w:rPr>
        <w:t>Središnji odsjek za prostorno uređenje</w:t>
      </w:r>
    </w:p>
    <w:p w:rsidR="00CD77BC" w:rsidRPr="00144AFE" w:rsidRDefault="001B0BE6">
      <w:pPr>
        <w:tabs>
          <w:tab w:val="left" w:pos="5670"/>
        </w:tabs>
        <w:ind w:right="3402"/>
        <w:jc w:val="center"/>
        <w:rPr>
          <w:color w:val="auto"/>
          <w:szCs w:val="22"/>
        </w:rPr>
      </w:pPr>
      <w:r w:rsidRPr="00144AFE">
        <w:rPr>
          <w:color w:val="auto"/>
          <w:szCs w:val="22"/>
        </w:rPr>
        <w:t>Trg Stjepana Radića 1, Zagreb</w:t>
      </w:r>
    </w:p>
    <w:p w:rsidR="00CD77BC" w:rsidRPr="00144AFE" w:rsidRDefault="001B0BE6">
      <w:pPr>
        <w:ind w:right="3413"/>
        <w:jc w:val="center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 </w:t>
      </w:r>
    </w:p>
    <w:p w:rsidR="00794DF1" w:rsidRPr="00144AFE" w:rsidRDefault="00794DF1" w:rsidP="00794DF1">
      <w:pPr>
        <w:tabs>
          <w:tab w:val="left" w:pos="432"/>
          <w:tab w:val="left" w:pos="864"/>
        </w:tabs>
        <w:rPr>
          <w:color w:val="auto"/>
          <w:szCs w:val="22"/>
        </w:rPr>
      </w:pPr>
      <w:r w:rsidRPr="00144AFE">
        <w:rPr>
          <w:color w:val="auto"/>
          <w:szCs w:val="22"/>
        </w:rPr>
        <w:t>KLASA: UP/I 350-05/15-05/68</w:t>
      </w:r>
    </w:p>
    <w:p w:rsidR="00794DF1" w:rsidRPr="00144AFE" w:rsidRDefault="00794DF1" w:rsidP="00794DF1">
      <w:pPr>
        <w:tabs>
          <w:tab w:val="left" w:pos="432"/>
          <w:tab w:val="left" w:pos="864"/>
        </w:tabs>
        <w:rPr>
          <w:color w:val="auto"/>
          <w:szCs w:val="22"/>
        </w:rPr>
      </w:pPr>
      <w:r w:rsidRPr="00144AFE">
        <w:rPr>
          <w:color w:val="auto"/>
          <w:szCs w:val="22"/>
        </w:rPr>
        <w:t>URBROJ: 251-13-21/124-15</w:t>
      </w:r>
      <w:r w:rsidR="00144AFE" w:rsidRPr="00144AFE">
        <w:rPr>
          <w:color w:val="auto"/>
          <w:szCs w:val="22"/>
        </w:rPr>
        <w:t>-6</w:t>
      </w:r>
    </w:p>
    <w:p w:rsidR="00794DF1" w:rsidRPr="00144AFE" w:rsidRDefault="00794DF1" w:rsidP="00794DF1">
      <w:pPr>
        <w:tabs>
          <w:tab w:val="left" w:pos="432"/>
          <w:tab w:val="left" w:pos="864"/>
        </w:tabs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Zagreb, </w:t>
      </w:r>
      <w:r w:rsidR="00144AFE" w:rsidRPr="00144AFE">
        <w:rPr>
          <w:color w:val="auto"/>
          <w:szCs w:val="22"/>
        </w:rPr>
        <w:t>21</w:t>
      </w:r>
      <w:r w:rsidRPr="00144AFE">
        <w:rPr>
          <w:color w:val="auto"/>
          <w:szCs w:val="22"/>
        </w:rPr>
        <w:t>.0</w:t>
      </w:r>
      <w:r w:rsidR="00144AFE" w:rsidRPr="00144AFE">
        <w:rPr>
          <w:color w:val="auto"/>
          <w:szCs w:val="22"/>
        </w:rPr>
        <w:t>4</w:t>
      </w:r>
      <w:r w:rsidRPr="00144AFE">
        <w:rPr>
          <w:color w:val="auto"/>
          <w:szCs w:val="22"/>
        </w:rPr>
        <w:t>.2015.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794DF1" w:rsidRPr="00144AFE" w:rsidRDefault="001B0BE6" w:rsidP="00794DF1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Gradski ured za prostorno uređenje, izgradnju Grada, graditeljstvo, komunalne poslove i promet, Odjel za prostorno uređenje, Središnji odsjek za prostorno uređenje, na temelju čl. 95. Zakona o općem upravnom postupku (Narodne novine, br.47/09), </w:t>
      </w:r>
      <w:r w:rsidR="00794DF1" w:rsidRPr="00144AFE">
        <w:rPr>
          <w:color w:val="auto"/>
          <w:szCs w:val="22"/>
        </w:rPr>
        <w:t xml:space="preserve">povodom zahtjeva Marka Miloša, Zagreb, Jablanska I odvojak 6a, za donošenje rješenja o utvrđivanju građevne čestice odnosno zemljišta nužnog za redovitu uporabu stambene građevine izgrađene </w:t>
      </w:r>
      <w:r w:rsidR="00794DF1" w:rsidRPr="00144AFE">
        <w:rPr>
          <w:color w:val="auto"/>
          <w:szCs w:val="22"/>
          <w:lang w:val="pl-PL"/>
        </w:rPr>
        <w:t>na</w:t>
      </w:r>
      <w:r w:rsidR="00794DF1" w:rsidRPr="00144AFE">
        <w:rPr>
          <w:color w:val="auto"/>
          <w:szCs w:val="22"/>
        </w:rPr>
        <w:t xml:space="preserve"> </w:t>
      </w:r>
      <w:r w:rsidR="00794DF1" w:rsidRPr="00144AFE">
        <w:rPr>
          <w:color w:val="auto"/>
          <w:szCs w:val="22"/>
          <w:lang w:val="pl-PL"/>
        </w:rPr>
        <w:t>k</w:t>
      </w:r>
      <w:r w:rsidR="00794DF1" w:rsidRPr="00144AFE">
        <w:rPr>
          <w:color w:val="auto"/>
          <w:szCs w:val="22"/>
        </w:rPr>
        <w:t>.č.</w:t>
      </w:r>
      <w:r w:rsidR="00794DF1" w:rsidRPr="00144AFE">
        <w:rPr>
          <w:color w:val="auto"/>
          <w:szCs w:val="22"/>
          <w:lang w:val="pl-PL"/>
        </w:rPr>
        <w:t>br</w:t>
      </w:r>
      <w:r w:rsidR="00794DF1" w:rsidRPr="00144AFE">
        <w:rPr>
          <w:color w:val="auto"/>
          <w:szCs w:val="22"/>
        </w:rPr>
        <w:t xml:space="preserve"> 966 i 980 k.o. RUDEŠ, u Zagrebu, Jablanska I odvojak 6a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 w:rsidP="00144AFE">
      <w:pPr>
        <w:jc w:val="center"/>
        <w:rPr>
          <w:b/>
          <w:color w:val="auto"/>
          <w:szCs w:val="22"/>
        </w:rPr>
      </w:pPr>
      <w:r w:rsidRPr="00144AFE">
        <w:rPr>
          <w:b/>
          <w:color w:val="auto"/>
          <w:szCs w:val="22"/>
        </w:rPr>
        <w:t>P O Z I V A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vlasnike i nositelje drugih stvarnih prava na nekretnini oznake </w:t>
      </w:r>
      <w:r w:rsidR="00794DF1" w:rsidRPr="00144AFE">
        <w:rPr>
          <w:color w:val="auto"/>
          <w:szCs w:val="22"/>
          <w:lang w:val="pl-PL"/>
        </w:rPr>
        <w:t>k</w:t>
      </w:r>
      <w:r w:rsidR="00794DF1" w:rsidRPr="00144AFE">
        <w:rPr>
          <w:color w:val="auto"/>
          <w:szCs w:val="22"/>
        </w:rPr>
        <w:t>.č.</w:t>
      </w:r>
      <w:r w:rsidR="00794DF1" w:rsidRPr="00144AFE">
        <w:rPr>
          <w:color w:val="auto"/>
          <w:szCs w:val="22"/>
          <w:lang w:val="pl-PL"/>
        </w:rPr>
        <w:t>br</w:t>
      </w:r>
      <w:r w:rsidR="00794DF1" w:rsidRPr="00144AFE">
        <w:rPr>
          <w:color w:val="auto"/>
          <w:szCs w:val="22"/>
        </w:rPr>
        <w:t xml:space="preserve"> 966 </w:t>
      </w:r>
      <w:r w:rsidR="0066147B">
        <w:rPr>
          <w:color w:val="auto"/>
          <w:szCs w:val="22"/>
        </w:rPr>
        <w:t xml:space="preserve">i 980 </w:t>
      </w:r>
      <w:r w:rsidR="00794DF1" w:rsidRPr="00144AFE">
        <w:rPr>
          <w:color w:val="auto"/>
          <w:szCs w:val="22"/>
        </w:rPr>
        <w:t xml:space="preserve">k.o. RUDEŠ </w:t>
      </w:r>
      <w:r w:rsidRPr="00144AFE">
        <w:rPr>
          <w:color w:val="auto"/>
          <w:szCs w:val="22"/>
        </w:rPr>
        <w:t xml:space="preserve">u Zagrebu, na dijelu koje se, povodom zahtjeva </w:t>
      </w:r>
      <w:r w:rsidR="00794DF1" w:rsidRPr="00144AFE">
        <w:rPr>
          <w:color w:val="auto"/>
          <w:szCs w:val="22"/>
        </w:rPr>
        <w:t>Marka Miloša, Zagreb, Jablanska I odvojak 6a</w:t>
      </w:r>
      <w:r w:rsidRPr="00144AFE">
        <w:rPr>
          <w:color w:val="auto"/>
          <w:szCs w:val="22"/>
        </w:rPr>
        <w:t xml:space="preserve">, traži određivanje građevne čestice za postojeću stambenu zgradu u Zagrebu, </w:t>
      </w:r>
      <w:r w:rsidR="00144AFE" w:rsidRPr="00144AFE">
        <w:rPr>
          <w:color w:val="auto"/>
          <w:szCs w:val="22"/>
        </w:rPr>
        <w:t>Jablanska I odvojak 6a</w:t>
      </w:r>
      <w:r w:rsidRPr="00144AFE">
        <w:rPr>
          <w:color w:val="auto"/>
          <w:szCs w:val="22"/>
        </w:rPr>
        <w:t xml:space="preserve">, da 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na dan  </w:t>
      </w:r>
      <w:r w:rsidR="00144AFE" w:rsidRPr="00144AFE">
        <w:rPr>
          <w:b/>
          <w:color w:val="auto"/>
          <w:szCs w:val="22"/>
        </w:rPr>
        <w:t>05</w:t>
      </w:r>
      <w:r w:rsidRPr="00144AFE">
        <w:rPr>
          <w:b/>
          <w:color w:val="auto"/>
          <w:szCs w:val="22"/>
        </w:rPr>
        <w:t>.</w:t>
      </w:r>
      <w:r w:rsidR="00144AFE" w:rsidRPr="00144AFE">
        <w:rPr>
          <w:b/>
          <w:color w:val="auto"/>
          <w:szCs w:val="22"/>
        </w:rPr>
        <w:t>05</w:t>
      </w:r>
      <w:r w:rsidR="00144AFE">
        <w:rPr>
          <w:b/>
          <w:color w:val="auto"/>
          <w:szCs w:val="22"/>
        </w:rPr>
        <w:t>.</w:t>
      </w:r>
      <w:r w:rsidRPr="00144AFE">
        <w:rPr>
          <w:b/>
          <w:color w:val="auto"/>
          <w:szCs w:val="22"/>
        </w:rPr>
        <w:t>201</w:t>
      </w:r>
      <w:r w:rsidR="0066147B">
        <w:rPr>
          <w:b/>
          <w:color w:val="auto"/>
          <w:szCs w:val="22"/>
        </w:rPr>
        <w:t>5</w:t>
      </w:r>
      <w:r w:rsidRPr="00144AFE">
        <w:rPr>
          <w:color w:val="auto"/>
          <w:szCs w:val="22"/>
        </w:rPr>
        <w:t xml:space="preserve">., </w:t>
      </w:r>
      <w:r w:rsidRPr="00144AFE">
        <w:rPr>
          <w:b/>
          <w:color w:val="auto"/>
          <w:szCs w:val="22"/>
        </w:rPr>
        <w:t xml:space="preserve">u </w:t>
      </w:r>
      <w:r w:rsidR="00144AFE" w:rsidRPr="00144AFE">
        <w:rPr>
          <w:b/>
          <w:color w:val="auto"/>
          <w:szCs w:val="22"/>
        </w:rPr>
        <w:t>10</w:t>
      </w:r>
      <w:r w:rsidRPr="00144AFE">
        <w:rPr>
          <w:b/>
          <w:color w:val="auto"/>
          <w:szCs w:val="22"/>
        </w:rPr>
        <w:t>,00</w:t>
      </w:r>
      <w:r w:rsidRPr="00144AFE">
        <w:rPr>
          <w:color w:val="auto"/>
          <w:szCs w:val="22"/>
        </w:rPr>
        <w:t xml:space="preserve"> sati u zgradi Gradske uprave Grada Zagreba, Trg Stjepana Radića 1</w:t>
      </w:r>
      <w:r w:rsidRPr="00144AFE">
        <w:rPr>
          <w:b/>
          <w:color w:val="auto"/>
          <w:szCs w:val="22"/>
        </w:rPr>
        <w:t>, u sobi 12</w:t>
      </w:r>
      <w:r w:rsidR="00144AFE">
        <w:rPr>
          <w:b/>
          <w:color w:val="auto"/>
          <w:szCs w:val="22"/>
        </w:rPr>
        <w:t>9</w:t>
      </w:r>
      <w:r w:rsidRPr="00144AFE">
        <w:rPr>
          <w:b/>
          <w:color w:val="auto"/>
          <w:szCs w:val="22"/>
        </w:rPr>
        <w:t>/I</w:t>
      </w:r>
      <w:r w:rsidRPr="00144AFE">
        <w:rPr>
          <w:color w:val="auto"/>
          <w:szCs w:val="22"/>
        </w:rPr>
        <w:t xml:space="preserve"> , </w:t>
      </w:r>
    </w:p>
    <w:p w:rsidR="00CD77BC" w:rsidRPr="00144AFE" w:rsidRDefault="00CD77BC">
      <w:pPr>
        <w:ind w:firstLine="708"/>
        <w:jc w:val="both"/>
        <w:rPr>
          <w:color w:val="auto"/>
          <w:szCs w:val="22"/>
        </w:rPr>
      </w:pPr>
    </w:p>
    <w:p w:rsidR="00CD77BC" w:rsidRPr="00144AFE" w:rsidRDefault="001B0BE6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izvrše uvid u prijedlog oblika i veličine građevne čestice za predmetnu zgradu prikazan na </w:t>
      </w:r>
      <w:r w:rsidR="00144AFE" w:rsidRPr="00144AFE">
        <w:rPr>
          <w:color w:val="auto"/>
          <w:szCs w:val="22"/>
        </w:rPr>
        <w:t>izvodu iz katastarskog plana,</w:t>
      </w:r>
      <w:r w:rsidRPr="00144AFE">
        <w:rPr>
          <w:color w:val="auto"/>
          <w:szCs w:val="22"/>
        </w:rPr>
        <w:t xml:space="preserve"> izrađen po ovl.dipl.ing. geodezije Gor</w:t>
      </w:r>
      <w:r w:rsidR="00144AFE" w:rsidRPr="00144AFE">
        <w:rPr>
          <w:color w:val="auto"/>
          <w:szCs w:val="22"/>
        </w:rPr>
        <w:t>d</w:t>
      </w:r>
      <w:r w:rsidRPr="00144AFE">
        <w:rPr>
          <w:color w:val="auto"/>
          <w:szCs w:val="22"/>
        </w:rPr>
        <w:t xml:space="preserve">anu </w:t>
      </w:r>
      <w:r w:rsidR="00144AFE" w:rsidRPr="00144AFE">
        <w:rPr>
          <w:color w:val="auto"/>
          <w:szCs w:val="22"/>
        </w:rPr>
        <w:t>Mešinu</w:t>
      </w:r>
      <w:r w:rsidRPr="00144AFE">
        <w:rPr>
          <w:color w:val="auto"/>
          <w:szCs w:val="22"/>
        </w:rPr>
        <w:t xml:space="preserve"> iz </w:t>
      </w:r>
      <w:r w:rsidR="00144AFE" w:rsidRPr="00144AFE">
        <w:rPr>
          <w:color w:val="auto"/>
          <w:szCs w:val="22"/>
        </w:rPr>
        <w:t xml:space="preserve">RAZMJER d.o.o., </w:t>
      </w:r>
      <w:r w:rsidRPr="00144AFE">
        <w:rPr>
          <w:color w:val="auto"/>
          <w:szCs w:val="22"/>
        </w:rPr>
        <w:t xml:space="preserve">te radi izjašnjenja na isti. 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 w:rsidP="00144AFE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Osoba koja se odazove ovom pozivu dužna je dokazati svojstvo stranke (ispravom iz koje je razvidno da je nositelj prava vlasništva ili drugog stvarnog prava na nekretnini oznake </w:t>
      </w:r>
      <w:r w:rsidR="00144AFE" w:rsidRPr="00144AFE">
        <w:rPr>
          <w:color w:val="auto"/>
          <w:szCs w:val="22"/>
          <w:lang w:val="pl-PL"/>
        </w:rPr>
        <w:t>k</w:t>
      </w:r>
      <w:r w:rsidR="00144AFE" w:rsidRPr="00144AFE">
        <w:rPr>
          <w:color w:val="auto"/>
          <w:szCs w:val="22"/>
        </w:rPr>
        <w:t>.č.</w:t>
      </w:r>
      <w:r w:rsidR="00144AFE" w:rsidRPr="00144AFE">
        <w:rPr>
          <w:color w:val="auto"/>
          <w:szCs w:val="22"/>
          <w:lang w:val="pl-PL"/>
        </w:rPr>
        <w:t>br</w:t>
      </w:r>
      <w:r w:rsidR="00144AFE" w:rsidRPr="00144AFE">
        <w:rPr>
          <w:color w:val="auto"/>
          <w:szCs w:val="22"/>
        </w:rPr>
        <w:t xml:space="preserve"> 966 </w:t>
      </w:r>
      <w:r w:rsidR="0066147B">
        <w:rPr>
          <w:color w:val="auto"/>
          <w:szCs w:val="22"/>
        </w:rPr>
        <w:t xml:space="preserve">i 980 </w:t>
      </w:r>
      <w:r w:rsidR="00144AFE" w:rsidRPr="00144AFE">
        <w:rPr>
          <w:color w:val="auto"/>
          <w:szCs w:val="22"/>
        </w:rPr>
        <w:t xml:space="preserve">k.o. RUDEŠ </w:t>
      </w:r>
      <w:r w:rsidRPr="00144AFE">
        <w:rPr>
          <w:color w:val="auto"/>
          <w:szCs w:val="22"/>
        </w:rPr>
        <w:t>u Zagrebu). Pozvani se pozivu mogu odazvati osobno ili putem opunomoćenika koji na uvid treba dostaviti i punomoć za zastupanje</w:t>
      </w:r>
      <w:r w:rsidR="0066147B">
        <w:rPr>
          <w:color w:val="auto"/>
          <w:szCs w:val="22"/>
        </w:rPr>
        <w:t>.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 w:rsidP="00144AFE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>Neodazivanje ovom pozivu ne sprječava donošenje rješenja o utvrđivanju građevne čestice, a istom će se smatrati da je stranci pružena mogućnost uvida u spis i očitovanja u svezi istog.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 w:rsidP="00144AFE">
      <w:pPr>
        <w:ind w:firstLine="708"/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Ovaj poziv se smatra dostavljenim istekom osmoga dana od dana javne objave. </w:t>
      </w:r>
      <w:r w:rsidRPr="00144AFE">
        <w:rPr>
          <w:color w:val="auto"/>
          <w:szCs w:val="22"/>
        </w:rPr>
        <w:tab/>
      </w:r>
    </w:p>
    <w:p w:rsidR="00144AFE" w:rsidRPr="00144AFE" w:rsidRDefault="00144AFE">
      <w:pPr>
        <w:jc w:val="both"/>
        <w:rPr>
          <w:color w:val="auto"/>
          <w:szCs w:val="22"/>
        </w:rPr>
      </w:pPr>
    </w:p>
    <w:p w:rsidR="00144AFE" w:rsidRPr="00144AFE" w:rsidRDefault="00794DF1" w:rsidP="0066147B">
      <w:pPr>
        <w:ind w:left="6379"/>
        <w:jc w:val="center"/>
        <w:rPr>
          <w:caps/>
          <w:color w:val="auto"/>
          <w:szCs w:val="22"/>
        </w:rPr>
      </w:pPr>
      <w:r w:rsidRPr="00144AFE">
        <w:rPr>
          <w:caps/>
          <w:color w:val="auto"/>
          <w:szCs w:val="22"/>
        </w:rPr>
        <w:t>Upravni savjetnik</w:t>
      </w:r>
    </w:p>
    <w:p w:rsidR="00144AFE" w:rsidRPr="00144AFE" w:rsidRDefault="00144AFE" w:rsidP="0066147B">
      <w:pPr>
        <w:ind w:left="6379"/>
        <w:jc w:val="center"/>
        <w:rPr>
          <w:caps/>
          <w:color w:val="auto"/>
          <w:szCs w:val="22"/>
        </w:rPr>
      </w:pPr>
    </w:p>
    <w:p w:rsidR="00794DF1" w:rsidRPr="00144AFE" w:rsidRDefault="00794DF1" w:rsidP="0066147B">
      <w:pPr>
        <w:ind w:left="6379"/>
        <w:jc w:val="center"/>
        <w:rPr>
          <w:caps/>
          <w:color w:val="auto"/>
          <w:szCs w:val="22"/>
        </w:rPr>
      </w:pPr>
      <w:r w:rsidRPr="00144AFE">
        <w:rPr>
          <w:color w:val="auto"/>
          <w:szCs w:val="22"/>
        </w:rPr>
        <w:t>Sanja Šoh, dipl.ing.arh.</w:t>
      </w:r>
    </w:p>
    <w:p w:rsidR="00CD77BC" w:rsidRPr="00144AFE" w:rsidRDefault="00CD77BC" w:rsidP="00794DF1">
      <w:pPr>
        <w:ind w:left="1416"/>
        <w:jc w:val="both"/>
        <w:rPr>
          <w:color w:val="auto"/>
          <w:szCs w:val="22"/>
        </w:rPr>
      </w:pPr>
    </w:p>
    <w:p w:rsidR="00CD77BC" w:rsidRPr="00144AFE" w:rsidRDefault="001B0BE6">
      <w:pPr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>Dostaviti:</w:t>
      </w:r>
    </w:p>
    <w:p w:rsidR="00CD77BC" w:rsidRPr="00144AFE" w:rsidRDefault="00CD77BC">
      <w:pPr>
        <w:jc w:val="both"/>
        <w:rPr>
          <w:color w:val="auto"/>
          <w:szCs w:val="22"/>
        </w:rPr>
      </w:pPr>
    </w:p>
    <w:p w:rsidR="00CD77BC" w:rsidRPr="00144AFE" w:rsidRDefault="001B0BE6">
      <w:pPr>
        <w:numPr>
          <w:ilvl w:val="0"/>
          <w:numId w:val="3"/>
        </w:numPr>
        <w:tabs>
          <w:tab w:val="left" w:pos="720"/>
        </w:tabs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>oglasna ploča, ovdje</w:t>
      </w:r>
    </w:p>
    <w:p w:rsidR="00CD77BC" w:rsidRPr="00144AFE" w:rsidRDefault="001B0BE6">
      <w:pPr>
        <w:numPr>
          <w:ilvl w:val="0"/>
          <w:numId w:val="3"/>
        </w:numPr>
        <w:tabs>
          <w:tab w:val="left" w:pos="720"/>
        </w:tabs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 xml:space="preserve">mrežne stranice Grada Zagreba </w:t>
      </w:r>
    </w:p>
    <w:p w:rsidR="00CD77BC" w:rsidRPr="00144AFE" w:rsidRDefault="00794DF1">
      <w:pPr>
        <w:numPr>
          <w:ilvl w:val="0"/>
          <w:numId w:val="3"/>
        </w:numPr>
        <w:tabs>
          <w:tab w:val="left" w:pos="720"/>
        </w:tabs>
        <w:jc w:val="both"/>
        <w:rPr>
          <w:color w:val="auto"/>
          <w:szCs w:val="22"/>
        </w:rPr>
      </w:pPr>
      <w:r w:rsidRPr="00144AFE">
        <w:rPr>
          <w:color w:val="auto"/>
          <w:szCs w:val="22"/>
        </w:rPr>
        <w:t>s</w:t>
      </w:r>
      <w:r w:rsidR="001B0BE6" w:rsidRPr="00144AFE">
        <w:rPr>
          <w:color w:val="auto"/>
          <w:szCs w:val="22"/>
        </w:rPr>
        <w:t>pis predmeta, ovdje</w:t>
      </w:r>
    </w:p>
    <w:sectPr w:rsidR="00CD77BC" w:rsidRPr="00144AFE" w:rsidSect="00CD77BC">
      <w:headerReference w:type="default" r:id="rId9"/>
      <w:footerReference w:type="default" r:id="rId10"/>
      <w:pgSz w:w="11906" w:h="16838"/>
      <w:pgMar w:top="567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E6" w:rsidRDefault="001B0BE6" w:rsidP="00CD77BC">
      <w:r>
        <w:separator/>
      </w:r>
    </w:p>
  </w:endnote>
  <w:endnote w:type="continuationSeparator" w:id="0">
    <w:p w:rsidR="001B0BE6" w:rsidRDefault="001B0BE6" w:rsidP="00CD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BC" w:rsidRDefault="00CD77BC">
    <w:pPr>
      <w:jc w:val="center"/>
    </w:pPr>
    <w:r>
      <w:fldChar w:fldCharType="begin"/>
    </w:r>
    <w:r w:rsidR="001B0BE6">
      <w:instrText>PAGE</w:instrText>
    </w:r>
    <w:r>
      <w:fldChar w:fldCharType="separate"/>
    </w:r>
    <w:r w:rsidR="00794DF1">
      <w:rPr>
        <w:noProof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E6" w:rsidRDefault="001B0BE6" w:rsidP="00CD77BC">
      <w:r>
        <w:separator/>
      </w:r>
    </w:p>
  </w:footnote>
  <w:footnote w:type="continuationSeparator" w:id="0">
    <w:p w:rsidR="001B0BE6" w:rsidRDefault="001B0BE6" w:rsidP="00CD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BC" w:rsidRDefault="001B0BE6">
    <w:pPr>
      <w:jc w:val="right"/>
    </w:pPr>
    <w:r>
      <w:t>UP/I 350-05/2014-003/59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7F09"/>
    <w:multiLevelType w:val="multilevel"/>
    <w:tmpl w:val="0BCCFA5C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  <w:rPr>
        <w:color w:val="000000"/>
        <w:sz w:val="24"/>
      </w:r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  <w:rPr>
        <w:color w:val="000000"/>
        <w:sz w:val="24"/>
      </w:r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  <w:rPr>
        <w:color w:val="000000"/>
        <w:sz w:val="24"/>
      </w:r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  <w:rPr>
        <w:color w:val="000000"/>
        <w:sz w:val="24"/>
      </w:r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  <w:rPr>
        <w:color w:val="000000"/>
        <w:sz w:val="24"/>
      </w:r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  <w:rPr>
        <w:color w:val="000000"/>
        <w:sz w:val="24"/>
      </w:r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  <w:rPr>
        <w:color w:val="000000"/>
        <w:sz w:val="24"/>
      </w:r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  <w:rPr>
        <w:color w:val="000000"/>
        <w:sz w:val="24"/>
      </w:r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  <w:rPr>
        <w:color w:val="000000"/>
        <w:sz w:val="24"/>
      </w:rPr>
    </w:lvl>
  </w:abstractNum>
  <w:abstractNum w:abstractNumId="1">
    <w:nsid w:val="4725123F"/>
    <w:multiLevelType w:val="multilevel"/>
    <w:tmpl w:val="5B847030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  <w:rPr>
        <w:color w:val="000000"/>
        <w:sz w:val="24"/>
      </w:r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  <w:rPr>
        <w:color w:val="000000"/>
        <w:sz w:val="24"/>
      </w:r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  <w:rPr>
        <w:color w:val="000000"/>
        <w:sz w:val="24"/>
      </w:r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  <w:rPr>
        <w:color w:val="000000"/>
        <w:sz w:val="24"/>
      </w:r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  <w:rPr>
        <w:color w:val="000000"/>
        <w:sz w:val="24"/>
      </w:r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  <w:rPr>
        <w:color w:val="000000"/>
        <w:sz w:val="24"/>
      </w:r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  <w:rPr>
        <w:color w:val="000000"/>
        <w:sz w:val="24"/>
      </w:r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  <w:rPr>
        <w:color w:val="000000"/>
        <w:sz w:val="24"/>
      </w:r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  <w:rPr>
        <w:color w:val="000000"/>
        <w:sz w:val="24"/>
      </w:rPr>
    </w:lvl>
  </w:abstractNum>
  <w:abstractNum w:abstractNumId="2">
    <w:nsid w:val="6F137380"/>
    <w:multiLevelType w:val="multilevel"/>
    <w:tmpl w:val="6E0E92D2"/>
    <w:lvl w:ilvl="0">
      <w:start w:val="1"/>
      <w:numFmt w:val="decimal"/>
      <w:lvlText w:val="%1."/>
      <w:lvlJc w:val="left"/>
      <w:pPr>
        <w:spacing w:after="0" w:line="240" w:lineRule="auto"/>
        <w:ind w:left="1776" w:hanging="360"/>
      </w:pPr>
      <w:rPr>
        <w:color w:val="000000"/>
        <w:sz w:val="24"/>
      </w:r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  <w:rPr>
        <w:color w:val="000000"/>
        <w:sz w:val="24"/>
      </w:r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  <w:rPr>
        <w:color w:val="000000"/>
        <w:sz w:val="24"/>
      </w:r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  <w:rPr>
        <w:color w:val="000000"/>
        <w:sz w:val="24"/>
      </w:r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  <w:rPr>
        <w:color w:val="000000"/>
        <w:sz w:val="24"/>
      </w:r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  <w:rPr>
        <w:color w:val="000000"/>
        <w:sz w:val="24"/>
      </w:r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  <w:rPr>
        <w:color w:val="000000"/>
        <w:sz w:val="24"/>
      </w:r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  <w:rPr>
        <w:color w:val="000000"/>
        <w:sz w:val="24"/>
      </w:r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  <w:rPr>
        <w:color w:val="000000"/>
        <w:sz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BC"/>
    <w:rsid w:val="00144AFE"/>
    <w:rsid w:val="001B0BE6"/>
    <w:rsid w:val="0066147B"/>
    <w:rsid w:val="00794DF1"/>
    <w:rsid w:val="00CD77BC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7B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77BC"/>
    <w:rPr>
      <w:rFonts w:ascii="Tahoma" w:hAnsi="Tahoma"/>
      <w:sz w:val="16"/>
    </w:rPr>
  </w:style>
  <w:style w:type="character" w:styleId="LineNumber">
    <w:name w:val="line number"/>
    <w:basedOn w:val="DefaultParagraphFont"/>
    <w:rsid w:val="00CD77BC"/>
    <w:rPr>
      <w:color w:val="000000"/>
    </w:rPr>
  </w:style>
  <w:style w:type="character" w:styleId="Hyperlink">
    <w:name w:val="Hyperlink"/>
    <w:basedOn w:val="DefaultParagraphFont"/>
    <w:rsid w:val="00CD77B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CD77BC"/>
    <w:rPr>
      <w:rFonts w:ascii="Tahoma" w:hAnsi="Tahoma"/>
      <w:sz w:val="16"/>
    </w:rPr>
  </w:style>
  <w:style w:type="table" w:styleId="TableSimple1">
    <w:name w:val="Table Simple 1"/>
    <w:basedOn w:val="TableNormal"/>
    <w:rsid w:val="00CD77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7B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77BC"/>
    <w:rPr>
      <w:rFonts w:ascii="Tahoma" w:hAnsi="Tahoma"/>
      <w:sz w:val="16"/>
    </w:rPr>
  </w:style>
  <w:style w:type="character" w:styleId="LineNumber">
    <w:name w:val="line number"/>
    <w:basedOn w:val="DefaultParagraphFont"/>
    <w:rsid w:val="00CD77BC"/>
    <w:rPr>
      <w:color w:val="000000"/>
    </w:rPr>
  </w:style>
  <w:style w:type="character" w:styleId="Hyperlink">
    <w:name w:val="Hyperlink"/>
    <w:basedOn w:val="DefaultParagraphFont"/>
    <w:rsid w:val="00CD77B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CD77BC"/>
    <w:rPr>
      <w:rFonts w:ascii="Tahoma" w:hAnsi="Tahoma"/>
      <w:sz w:val="16"/>
    </w:rPr>
  </w:style>
  <w:style w:type="table" w:styleId="TableSimple1">
    <w:name w:val="Table Simple 1"/>
    <w:basedOn w:val="TableNormal"/>
    <w:rsid w:val="00CD77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cp:lastPrinted>2015-04-22T06:01:00Z</cp:lastPrinted>
  <dcterms:created xsi:type="dcterms:W3CDTF">2015-04-22T06:05:00Z</dcterms:created>
  <dcterms:modified xsi:type="dcterms:W3CDTF">2015-04-22T06:05:00Z</dcterms:modified>
</cp:coreProperties>
</file>